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A" w:rsidRDefault="00AC7957" w:rsidP="005F308A">
      <w:pPr>
        <w:autoSpaceDE w:val="0"/>
        <w:autoSpaceDN w:val="0"/>
        <w:adjustRightInd w:val="0"/>
        <w:spacing w:after="0" w:line="240" w:lineRule="auto"/>
        <w:rPr>
          <w:rFonts w:ascii="Oswald" w:hAnsi="Oswald" w:cs="Oswald"/>
          <w:b/>
          <w:color w:val="0070C0"/>
          <w:sz w:val="54"/>
          <w:szCs w:val="54"/>
        </w:rPr>
      </w:pPr>
      <w:r>
        <w:rPr>
          <w:rFonts w:ascii="Oswald" w:hAnsi="Oswald" w:cs="Oswald"/>
          <w:b/>
          <w:color w:val="0070C0"/>
          <w:sz w:val="54"/>
          <w:szCs w:val="54"/>
        </w:rPr>
        <w:t xml:space="preserve"> </w:t>
      </w:r>
      <w:r w:rsidR="005F308A" w:rsidRPr="005F308A">
        <w:rPr>
          <w:rFonts w:ascii="Oswald" w:hAnsi="Oswald" w:cs="Oswald"/>
          <w:b/>
          <w:color w:val="0070C0"/>
          <w:sz w:val="54"/>
          <w:szCs w:val="54"/>
        </w:rPr>
        <w:t xml:space="preserve">Changes proposed in Form 15CB &amp; CA - </w:t>
      </w:r>
      <w:proofErr w:type="spellStart"/>
      <w:r w:rsidR="005F308A" w:rsidRPr="005F308A">
        <w:rPr>
          <w:rFonts w:ascii="Oswald" w:hAnsi="Oswald" w:cs="Oswald"/>
          <w:b/>
          <w:color w:val="0070C0"/>
          <w:sz w:val="54"/>
          <w:szCs w:val="54"/>
        </w:rPr>
        <w:t>wef</w:t>
      </w:r>
      <w:proofErr w:type="spellEnd"/>
      <w:r w:rsidR="005F308A" w:rsidRPr="005F308A">
        <w:rPr>
          <w:rFonts w:ascii="Oswald" w:hAnsi="Oswald" w:cs="Oswald"/>
          <w:b/>
          <w:color w:val="0070C0"/>
          <w:sz w:val="54"/>
          <w:szCs w:val="54"/>
        </w:rPr>
        <w:t xml:space="preserve"> 1st Apr 2016 </w:t>
      </w:r>
    </w:p>
    <w:p w:rsidR="005F308A" w:rsidRP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Oswald" w:hAnsi="Oswald" w:cs="Oswald"/>
          <w:b/>
          <w:color w:val="0070C0"/>
          <w:sz w:val="54"/>
          <w:szCs w:val="54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Wef</w:t>
      </w:r>
      <w:proofErr w:type="spellEnd"/>
      <w:r>
        <w:rPr>
          <w:rFonts w:ascii="Arial" w:hAnsi="Arial" w:cs="Arial"/>
          <w:color w:val="000000"/>
        </w:rPr>
        <w:t xml:space="preserve"> 1st Apr 2016, the provisions applicable to </w:t>
      </w:r>
      <w:proofErr w:type="spellStart"/>
      <w:r>
        <w:rPr>
          <w:rFonts w:ascii="Arial" w:hAnsi="Arial" w:cs="Arial"/>
          <w:color w:val="000000"/>
        </w:rPr>
        <w:t>IncomeTax</w:t>
      </w:r>
      <w:proofErr w:type="spellEnd"/>
      <w:r>
        <w:rPr>
          <w:rFonts w:ascii="Arial" w:hAnsi="Arial" w:cs="Arial"/>
          <w:color w:val="000000"/>
        </w:rPr>
        <w:t xml:space="preserve"> Rule 37BB read with Sec 195 is amended i.e. issuance of Form 15CB &amp; CA. Following are the key points covered therein.</w:t>
      </w: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furnishing of information for payment to a nonresident, not being a company, or to a foreign</w:t>
      </w: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in Form 15CA has been classified into 4 parts-</w:t>
      </w:r>
      <w:proofErr w:type="spellStart"/>
      <w:r>
        <w:rPr>
          <w:rFonts w:ascii="Arial" w:hAnsi="Arial" w:cs="Arial"/>
          <w:color w:val="000000"/>
        </w:rPr>
        <w:t>PartA</w:t>
      </w:r>
      <w:proofErr w:type="spellEnd"/>
      <w:r>
        <w:rPr>
          <w:rFonts w:ascii="Arial" w:hAnsi="Arial" w:cs="Arial"/>
          <w:color w:val="000000"/>
        </w:rPr>
        <w:t>, Part B, Part C and Part D, wherein:</w:t>
      </w: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308A" w:rsidTr="005F308A"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Applicable part of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 15CA</w:t>
            </w:r>
          </w:p>
        </w:tc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submitted for the following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F308A" w:rsidTr="005F308A"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 A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the amount of remittance or aggregate of such remittance made during financial year </w:t>
            </w:r>
            <w:r w:rsidRPr="00A60F0E">
              <w:rPr>
                <w:rFonts w:ascii="Arial" w:hAnsi="Arial" w:cs="Arial"/>
                <w:b/>
                <w:color w:val="000000"/>
              </w:rPr>
              <w:t>doesn’</w:t>
            </w:r>
            <w:r w:rsidR="00A60F0E">
              <w:rPr>
                <w:rFonts w:ascii="Arial" w:hAnsi="Arial" w:cs="Arial"/>
                <w:b/>
                <w:color w:val="000000"/>
              </w:rPr>
              <w:t>t exceed INR 500,000(Note</w:t>
            </w:r>
            <w:r w:rsidRPr="00A60F0E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)(Whether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taxable or not)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F308A" w:rsidTr="005F308A"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 B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the amount of remittance or aggregate of such remittance made during financial year </w:t>
            </w:r>
            <w:r w:rsidRPr="00A60F0E">
              <w:rPr>
                <w:rFonts w:ascii="Arial" w:hAnsi="Arial" w:cs="Arial"/>
                <w:b/>
                <w:color w:val="000000"/>
              </w:rPr>
              <w:t>does not exceed INR 500,000</w:t>
            </w:r>
            <w:r>
              <w:rPr>
                <w:rFonts w:ascii="Arial" w:hAnsi="Arial" w:cs="Arial"/>
                <w:color w:val="000000"/>
              </w:rPr>
              <w:t xml:space="preserve"> an  order/certificate of exemption has been obtained from the </w:t>
            </w:r>
            <w:proofErr w:type="spellStart"/>
            <w:r>
              <w:rPr>
                <w:rFonts w:ascii="Arial" w:hAnsi="Arial" w:cs="Arial"/>
                <w:color w:val="000000"/>
              </w:rPr>
              <w:t>Incometax</w:t>
            </w:r>
            <w:proofErr w:type="spellEnd"/>
            <w:r w:rsidR="000114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Officer (</w:t>
            </w:r>
          </w:p>
          <w:p w:rsidR="005F308A" w:rsidRDefault="000114FD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Whether </w:t>
            </w:r>
            <w:r w:rsidR="005F308A">
              <w:rPr>
                <w:rFonts w:ascii="Arial" w:hAnsi="Arial" w:cs="Arial"/>
                <w:color w:val="000000"/>
              </w:rPr>
              <w:t>NIL rate or Lower Rate Certificate)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F308A" w:rsidTr="005F308A"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 C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the amount of remittance or ag</w:t>
            </w:r>
            <w:r w:rsidR="000114FD">
              <w:rPr>
                <w:rFonts w:ascii="Arial" w:hAnsi="Arial" w:cs="Arial"/>
                <w:color w:val="000000"/>
              </w:rPr>
              <w:t xml:space="preserve">gregate of such remittance made </w:t>
            </w:r>
            <w:r>
              <w:rPr>
                <w:rFonts w:ascii="Arial" w:hAnsi="Arial" w:cs="Arial"/>
                <w:color w:val="000000"/>
              </w:rPr>
              <w:t xml:space="preserve">during financial year </w:t>
            </w:r>
            <w:r w:rsidRPr="00A60F0E">
              <w:rPr>
                <w:rFonts w:ascii="Arial" w:hAnsi="Arial" w:cs="Arial"/>
                <w:b/>
                <w:color w:val="000000"/>
              </w:rPr>
              <w:t>exceed INR 500,00</w:t>
            </w:r>
            <w:r w:rsidR="000114FD" w:rsidRPr="00A60F0E">
              <w:rPr>
                <w:rFonts w:ascii="Arial" w:hAnsi="Arial" w:cs="Arial"/>
                <w:b/>
                <w:color w:val="000000"/>
              </w:rPr>
              <w:t>0</w:t>
            </w:r>
            <w:r w:rsidR="000114FD">
              <w:rPr>
                <w:rFonts w:ascii="Arial" w:hAnsi="Arial" w:cs="Arial"/>
                <w:color w:val="000000"/>
              </w:rPr>
              <w:t xml:space="preserve"> a certificate in Form 15CB is </w:t>
            </w:r>
            <w:r>
              <w:rPr>
                <w:rFonts w:ascii="Arial" w:hAnsi="Arial" w:cs="Arial"/>
                <w:color w:val="000000"/>
              </w:rPr>
              <w:t>obtained by an accountant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F308A" w:rsidTr="005F308A">
        <w:tc>
          <w:tcPr>
            <w:tcW w:w="4788" w:type="dxa"/>
          </w:tcPr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 D</w:t>
            </w:r>
          </w:p>
        </w:tc>
        <w:tc>
          <w:tcPr>
            <w:tcW w:w="4788" w:type="dxa"/>
          </w:tcPr>
          <w:p w:rsidR="005F308A" w:rsidRPr="00A60F0E" w:rsidRDefault="00A60F0E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</w:t>
            </w:r>
            <w:r w:rsidR="005F308A">
              <w:rPr>
                <w:rFonts w:ascii="Arial" w:hAnsi="Arial" w:cs="Arial"/>
                <w:color w:val="000000"/>
              </w:rPr>
              <w:t xml:space="preserve"> the remittance is not chargeable to tax </w:t>
            </w:r>
            <w:r w:rsidR="005F308A" w:rsidRPr="00A60F0E">
              <w:rPr>
                <w:rFonts w:ascii="Arial" w:hAnsi="Arial" w:cs="Arial"/>
                <w:b/>
                <w:color w:val="000000"/>
              </w:rPr>
              <w:t>(Note 2)</w:t>
            </w:r>
          </w:p>
          <w:p w:rsidR="005F308A" w:rsidRDefault="005F308A" w:rsidP="005F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14FD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1</w:t>
      </w:r>
      <w:r w:rsidR="00A60F0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Earlier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threshold was above 50,000 per payment or the aggregate remittances exceeded INR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250,000 during the financial year </w:t>
      </w: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2 – No information is required to be furnished if remittance is not chargeable to tax if;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remittance is made by an individual and it does not require prior approval of RBI as per FEMA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provisions and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remittance is of the nature as mentioned in “SPECIFIED LIST” – in page 2 &amp; 3 listed in the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attachment. Further the list of payments of specified nature mentioned in Rule 37 BB which do not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 submission of Forms 15CA and 15CB has been expanded from 28 to 33.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Process related to Form 15CB &amp; CA has been </w:t>
      </w:r>
      <w:r>
        <w:rPr>
          <w:rFonts w:ascii="Arial" w:hAnsi="Arial" w:cs="Arial"/>
          <w:i/>
          <w:iCs/>
          <w:color w:val="000000"/>
          <w:lang w:bidi="he-IL"/>
        </w:rPr>
        <w:t xml:space="preserve">completely </w:t>
      </w:r>
      <w:r>
        <w:rPr>
          <w:rFonts w:ascii="Arial" w:hAnsi="Arial" w:cs="Arial"/>
          <w:color w:val="000000"/>
        </w:rPr>
        <w:t>revamped by the IT Dept and now IT Dept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expecting the certifying </w:t>
      </w:r>
      <w:r w:rsidRPr="00A60F0E">
        <w:rPr>
          <w:rFonts w:ascii="Arial" w:hAnsi="Arial" w:cs="Arial"/>
          <w:b/>
          <w:i/>
          <w:iCs/>
          <w:color w:val="000000"/>
          <w:lang w:bidi="he-IL"/>
        </w:rPr>
        <w:t>CA</w:t>
      </w:r>
      <w:r>
        <w:rPr>
          <w:rFonts w:ascii="Arial" w:hAnsi="Arial" w:cs="Arial"/>
          <w:i/>
          <w:iCs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</w:rPr>
        <w:t xml:space="preserve">to certify the Form 15CB via online, similar to an </w:t>
      </w:r>
      <w:r>
        <w:rPr>
          <w:rFonts w:ascii="Arial" w:hAnsi="Arial" w:cs="Arial"/>
          <w:i/>
          <w:iCs/>
          <w:color w:val="000000"/>
          <w:lang w:bidi="he-IL"/>
        </w:rPr>
        <w:t>Audit Report</w:t>
      </w:r>
      <w:r>
        <w:rPr>
          <w:rFonts w:ascii="Arial" w:hAnsi="Arial" w:cs="Arial"/>
          <w:color w:val="000000"/>
        </w:rPr>
        <w:t>.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Process related to Form 15CB &amp; </w:t>
      </w:r>
      <w:r w:rsidRPr="00A60F0E">
        <w:rPr>
          <w:rFonts w:ascii="Arial" w:hAnsi="Arial" w:cs="Arial"/>
          <w:color w:val="000000"/>
        </w:rPr>
        <w:t xml:space="preserve">CA </w:t>
      </w:r>
      <w:r>
        <w:rPr>
          <w:rFonts w:ascii="Arial" w:hAnsi="Arial" w:cs="Arial"/>
          <w:color w:val="000000"/>
        </w:rPr>
        <w:t>explained in nutshell;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0114FD">
        <w:rPr>
          <w:rFonts w:ascii="Arial" w:hAnsi="Arial" w:cs="Arial"/>
          <w:b/>
          <w:color w:val="C00000"/>
        </w:rPr>
        <w:t>Form 15CB:</w:t>
      </w:r>
    </w:p>
    <w:p w:rsidR="000114FD" w:rsidRP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The Remitter / Company has to ‘Add CA’ in </w:t>
      </w:r>
      <w:proofErr w:type="spellStart"/>
      <w:r>
        <w:rPr>
          <w:rFonts w:ascii="Arial" w:hAnsi="Arial" w:cs="Arial"/>
          <w:color w:val="000000"/>
        </w:rPr>
        <w:t>eFiling</w:t>
      </w:r>
      <w:proofErr w:type="spellEnd"/>
      <w:r>
        <w:rPr>
          <w:rFonts w:ascii="Arial" w:hAnsi="Arial" w:cs="Arial"/>
          <w:color w:val="000000"/>
        </w:rPr>
        <w:t xml:space="preserve"> Portal, whoever is </w:t>
      </w:r>
      <w:proofErr w:type="gramStart"/>
      <w:r>
        <w:rPr>
          <w:rFonts w:ascii="Arial" w:hAnsi="Arial" w:cs="Arial"/>
          <w:color w:val="000000"/>
        </w:rPr>
        <w:t>Signing</w:t>
      </w:r>
      <w:proofErr w:type="gramEnd"/>
      <w:r>
        <w:rPr>
          <w:rFonts w:ascii="Arial" w:hAnsi="Arial" w:cs="Arial"/>
          <w:color w:val="000000"/>
        </w:rPr>
        <w:t xml:space="preserve"> the Form 15CB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 ‘Form 15CB’ xml file has to be generated with the help of a ‘Utility’, Signing manual / paper form is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discontinued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So added CA shall upload the Form 15CB </w:t>
      </w:r>
      <w:r>
        <w:rPr>
          <w:rFonts w:ascii="Arial" w:hAnsi="Arial" w:cs="Arial"/>
          <w:i/>
          <w:iCs/>
          <w:color w:val="000000"/>
          <w:lang w:bidi="he-IL"/>
        </w:rPr>
        <w:t xml:space="preserve">xml </w:t>
      </w:r>
      <w:r>
        <w:rPr>
          <w:rFonts w:ascii="Arial" w:hAnsi="Arial" w:cs="Arial"/>
          <w:color w:val="000000"/>
        </w:rPr>
        <w:t xml:space="preserve">file with one’s own </w:t>
      </w:r>
      <w:proofErr w:type="spellStart"/>
      <w:r>
        <w:rPr>
          <w:rFonts w:ascii="Arial" w:hAnsi="Arial" w:cs="Arial"/>
          <w:color w:val="000000"/>
        </w:rPr>
        <w:t>eFiling</w:t>
      </w:r>
      <w:proofErr w:type="spellEnd"/>
      <w:r>
        <w:rPr>
          <w:rFonts w:ascii="Arial" w:hAnsi="Arial" w:cs="Arial"/>
          <w:color w:val="000000"/>
        </w:rPr>
        <w:t xml:space="preserve"> Login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The Remitter / Company has to approve the same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Once approved, the Remitter will allotted with an ‘Acknowledgement Number’, which has to be </w:t>
      </w:r>
      <w:proofErr w:type="spellStart"/>
      <w:proofErr w:type="gramStart"/>
      <w:r>
        <w:rPr>
          <w:rFonts w:ascii="Arial" w:hAnsi="Arial" w:cs="Arial"/>
          <w:color w:val="000000"/>
        </w:rPr>
        <w:t>Keyedin</w:t>
      </w:r>
      <w:proofErr w:type="spellEnd"/>
      <w:r w:rsidR="000114F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when</w:t>
      </w:r>
      <w:proofErr w:type="gramEnd"/>
      <w:r>
        <w:rPr>
          <w:rFonts w:ascii="Arial" w:hAnsi="Arial" w:cs="Arial"/>
          <w:color w:val="000000"/>
        </w:rPr>
        <w:t xml:space="preserve"> prompted, while filing ‘Form 15CA’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0114FD">
        <w:rPr>
          <w:rFonts w:ascii="Arial" w:hAnsi="Arial" w:cs="Arial"/>
          <w:b/>
          <w:color w:val="C00000"/>
        </w:rPr>
        <w:t>Form 15CA:</w:t>
      </w:r>
    </w:p>
    <w:p w:rsidR="000114FD" w:rsidRP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The Remitter / Company has to Login to Company’s ‘</w:t>
      </w:r>
      <w:proofErr w:type="spellStart"/>
      <w:r>
        <w:rPr>
          <w:rFonts w:ascii="Arial" w:hAnsi="Arial" w:cs="Arial"/>
          <w:color w:val="000000"/>
        </w:rPr>
        <w:t>eFiling</w:t>
      </w:r>
      <w:proofErr w:type="spellEnd"/>
      <w:r>
        <w:rPr>
          <w:rFonts w:ascii="Arial" w:hAnsi="Arial" w:cs="Arial"/>
          <w:color w:val="000000"/>
        </w:rPr>
        <w:t>’ portal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Using ‘DSC Management Utility’ the Remitter / Company need to create a ‘Signature xml file’ to upload</w:t>
      </w:r>
      <w:r w:rsidR="000114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 while filing Form 15CA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Under ‘</w:t>
      </w:r>
      <w:proofErr w:type="spellStart"/>
      <w:r>
        <w:rPr>
          <w:rFonts w:ascii="Arial" w:hAnsi="Arial" w:cs="Arial"/>
          <w:color w:val="000000"/>
        </w:rPr>
        <w:t>eFile</w:t>
      </w:r>
      <w:proofErr w:type="spellEnd"/>
      <w:r>
        <w:rPr>
          <w:rFonts w:ascii="Arial" w:hAnsi="Arial" w:cs="Arial"/>
          <w:color w:val="000000"/>
        </w:rPr>
        <w:t>’ tab, select ‘Prepare and submit online Forms (Other than ITR)’ and select 15CA</w:t>
      </w:r>
    </w:p>
    <w:p w:rsidR="000114FD" w:rsidRDefault="000114FD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308A" w:rsidRDefault="005F308A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Follow the instructions and steps as seen onscreen to file the Form 15CA online</w:t>
      </w:r>
    </w:p>
    <w:p w:rsidR="00E854EE" w:rsidRDefault="00E854EE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54EE" w:rsidRDefault="00E854EE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54EE" w:rsidRDefault="00E854EE" w:rsidP="005F3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Source courtesy:caclubindia.com</w:t>
      </w:r>
    </w:p>
    <w:sectPr w:rsidR="00E854EE" w:rsidSect="0093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08A"/>
    <w:rsid w:val="000114FD"/>
    <w:rsid w:val="004577E7"/>
    <w:rsid w:val="005F308A"/>
    <w:rsid w:val="0093057F"/>
    <w:rsid w:val="00A60F0E"/>
    <w:rsid w:val="00AC7957"/>
    <w:rsid w:val="00E854EE"/>
    <w:rsid w:val="00E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3</cp:revision>
  <dcterms:created xsi:type="dcterms:W3CDTF">2016-04-08T04:38:00Z</dcterms:created>
  <dcterms:modified xsi:type="dcterms:W3CDTF">2016-04-08T05:23:00Z</dcterms:modified>
</cp:coreProperties>
</file>